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CURTAIN WALL INSTALLATION</w:t>
      </w:r>
    </w:p>
    <w:p>
      <w:pPr>
        <w:spacing w:after="480"/>
      </w:pPr>
      <w:r>
        <w:rPr>
          <w:rFonts w:ascii="Aptos" w:hAnsi="Aptos"/>
          <w:b w:val="0"/>
          <w:color w:val="5E6B78"/>
          <w:sz w:val="26"/>
        </w:rPr>
        <w:t>Sistem Curtain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curtain wall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curtain wall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Mullions and transoms</w:t>
      </w:r>
    </w:p>
    <w:p>
      <w:pPr>
        <w:pStyle w:val="ListBullet"/>
        <w:spacing w:after="50"/>
        <w:ind w:left="369" w:hanging="170"/>
      </w:pPr>
      <w:r>
        <w:rPr>
          <w:rFonts w:ascii="Aptos" w:hAnsi="Aptos"/>
          <w:b w:val="0"/>
          <w:color w:val="263442"/>
          <w:sz w:val="19"/>
        </w:rPr>
        <w:t>Glass units</w:t>
      </w:r>
    </w:p>
    <w:p>
      <w:pPr>
        <w:pStyle w:val="ListBullet"/>
        <w:spacing w:after="50"/>
        <w:ind w:left="369" w:hanging="170"/>
      </w:pPr>
      <w:r>
        <w:rPr>
          <w:rFonts w:ascii="Aptos" w:hAnsi="Aptos"/>
          <w:b w:val="0"/>
          <w:color w:val="263442"/>
          <w:sz w:val="19"/>
        </w:rPr>
        <w:t>Brackets and anchors</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Fire and smoke barriers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or mini crane</w:t>
      </w:r>
    </w:p>
    <w:p>
      <w:pPr>
        <w:pStyle w:val="ListBullet"/>
        <w:spacing w:after="50"/>
        <w:ind w:left="369" w:hanging="170"/>
      </w:pPr>
      <w:r>
        <w:rPr>
          <w:rFonts w:ascii="Aptos" w:hAnsi="Aptos"/>
          <w:b w:val="0"/>
          <w:color w:val="263442"/>
          <w:sz w:val="19"/>
        </w:rPr>
        <w:t>Glass lifter</w:t>
      </w:r>
    </w:p>
    <w:p>
      <w:pPr>
        <w:pStyle w:val="ListBullet"/>
        <w:spacing w:after="50"/>
        <w:ind w:left="369" w:hanging="170"/>
      </w:pPr>
      <w:r>
        <w:rPr>
          <w:rFonts w:ascii="Aptos" w:hAnsi="Aptos"/>
          <w:b w:val="0"/>
          <w:color w:val="263442"/>
          <w:sz w:val="19"/>
        </w:rPr>
        <w:t>MEWP or cradle</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Sealant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curtain wall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Mullions and transoms, Glass units, Brackets and anchors, Gaskets, Sealants, Fire and smoke barriers.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benchmark mock-up. </w:t>
      </w:r>
      <w:r>
        <w:rPr>
          <w:rFonts w:ascii="Aptos" w:hAnsi="Aptos"/>
          <w:b w:val="0"/>
          <w:color w:val="263442"/>
          <w:sz w:val="19"/>
        </w:rPr>
        <w:t>Approve the benchmark mock-up, shop drawings, structural calculations and test requirements.</w:t>
      </w:r>
    </w:p>
    <w:p>
      <w:pPr>
        <w:keepLines/>
        <w:spacing w:after="100" w:line="269" w:lineRule="auto"/>
        <w:ind w:left="369" w:hanging="369"/>
      </w:pPr>
      <w:r>
        <w:rPr>
          <w:rFonts w:ascii="Aptos" w:hAnsi="Aptos"/>
          <w:b/>
          <w:color w:val="071E33"/>
          <w:sz w:val="19"/>
        </w:rPr>
        <w:t xml:space="preserve">2. Survey slab edges. </w:t>
      </w:r>
      <w:r>
        <w:rPr>
          <w:rFonts w:ascii="Aptos" w:hAnsi="Aptos"/>
          <w:b w:val="0"/>
          <w:color w:val="263442"/>
          <w:sz w:val="19"/>
        </w:rPr>
        <w:t>Survey slab edges and install brackets and anchors to the approved setting-out.</w:t>
      </w:r>
    </w:p>
    <w:p>
      <w:pPr>
        <w:keepLines/>
        <w:spacing w:after="100" w:line="269" w:lineRule="auto"/>
        <w:ind w:left="369" w:hanging="369"/>
      </w:pPr>
      <w:r>
        <w:rPr>
          <w:rFonts w:ascii="Aptos" w:hAnsi="Aptos"/>
          <w:b/>
          <w:color w:val="071E33"/>
          <w:sz w:val="19"/>
        </w:rPr>
        <w:t xml:space="preserve">3. Install and align mullions and transoms. </w:t>
      </w:r>
      <w:r>
        <w:rPr>
          <w:rFonts w:ascii="Aptos" w:hAnsi="Aptos"/>
          <w:b w:val="0"/>
          <w:color w:val="263442"/>
          <w:sz w:val="19"/>
        </w:rPr>
        <w:t>Install and align mullions and transoms while maintaining movement allowances.</w:t>
      </w:r>
    </w:p>
    <w:p>
      <w:pPr>
        <w:keepLines/>
        <w:spacing w:after="100" w:line="269" w:lineRule="auto"/>
        <w:ind w:left="369" w:hanging="369"/>
      </w:pPr>
      <w:r>
        <w:rPr>
          <w:rFonts w:ascii="Aptos" w:hAnsi="Aptos"/>
          <w:b/>
          <w:color w:val="071E33"/>
          <w:sz w:val="19"/>
        </w:rPr>
        <w:t xml:space="preserve">4. Glaze units using correct setting blocks. </w:t>
      </w:r>
      <w:r>
        <w:rPr>
          <w:rFonts w:ascii="Aptos" w:hAnsi="Aptos"/>
          <w:b w:val="0"/>
          <w:color w:val="263442"/>
          <w:sz w:val="19"/>
        </w:rPr>
        <w:t>Glaze units using correct setting blocks, pressure plates, gaskets and retainers.</w:t>
      </w:r>
    </w:p>
    <w:p>
      <w:pPr>
        <w:keepLines/>
        <w:spacing w:after="100" w:line="269" w:lineRule="auto"/>
        <w:ind w:left="369" w:hanging="369"/>
      </w:pPr>
      <w:r>
        <w:rPr>
          <w:rFonts w:ascii="Aptos" w:hAnsi="Aptos"/>
          <w:b/>
          <w:color w:val="071E33"/>
          <w:sz w:val="19"/>
        </w:rPr>
        <w:t xml:space="preserve">5. Install perimeter membranes. </w:t>
      </w:r>
      <w:r>
        <w:rPr>
          <w:rFonts w:ascii="Aptos" w:hAnsi="Aptos"/>
          <w:b w:val="0"/>
          <w:color w:val="263442"/>
          <w:sz w:val="19"/>
        </w:rPr>
        <w:t>Install perimeter membranes, fire stops, flashings and internal seals.</w:t>
      </w:r>
    </w:p>
    <w:p>
      <w:pPr>
        <w:keepLines/>
        <w:spacing w:after="100" w:line="269" w:lineRule="auto"/>
        <w:ind w:left="369" w:hanging="369"/>
      </w:pPr>
      <w:r>
        <w:rPr>
          <w:rFonts w:ascii="Aptos" w:hAnsi="Aptos"/>
          <w:b/>
          <w:color w:val="071E33"/>
          <w:sz w:val="19"/>
        </w:rPr>
        <w:t xml:space="preserve">6. Complete sealant, cleaning, water testing. </w:t>
      </w:r>
      <w:r>
        <w:rPr>
          <w:rFonts w:ascii="Aptos" w:hAnsi="Aptos"/>
          <w:b w:val="0"/>
          <w:color w:val="263442"/>
          <w:sz w:val="19"/>
        </w:rPr>
        <w:t>Complete sealant, cleaning, water testing and façade survey before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mock-up; anchor and bracket; frame alignment; glazing support; fire and perimeter seals; water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glass breakage; suspended load; weather; sealant exposure.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Mock-up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Anchor and bracket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Frame 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Glazing support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Fire and perimeter seals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Water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Glass breakage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Sealant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Curtain Wall Installation</dc:title>
  <dc:subject>Editable construction method statement template</dc:subject>
  <dc:creator>Method Statement Hub Malaysia</dc:creator>
  <cp:keywords>curtain wall, façade, glazing</cp:keywords>
  <dc:description>generated by python-docx</dc:description>
  <cp:lastModifiedBy/>
  <cp:revision>1</cp:revision>
  <dcterms:created xsi:type="dcterms:W3CDTF">2013-12-23T23:15:00Z</dcterms:created>
  <dcterms:modified xsi:type="dcterms:W3CDTF">2013-12-23T23:15:00Z</dcterms:modified>
  <cp:category/>
</cp:coreProperties>
</file>